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rFonts w:ascii="Calibri" w:cs="Calibri" w:eastAsia="Calibri" w:hAnsi="Calibri"/>
          <w:color w:val="5B6878"/>
          <w:spacing w:val="40"/>
          <w:sz w:val="20"/>
          <w:szCs w:val="20"/>
        </w:rPr>
        <w:t xml:space="preserve">PÔLE PILOTE 100 % IDT — INCLUSION, UN DÉFI, UN TERRITOIRE</w:t>
      </w:r>
    </w:p>
    <w:p>
      <w:pPr>
        <w:spacing w:after="200"/>
      </w:pPr>
      <w:r>
        <w:rPr>
          <w:rFonts w:ascii="Calibri" w:cs="Calibri" w:eastAsia="Calibri" w:hAnsi="Calibri"/>
          <w:b/>
          <w:bCs/>
          <w:color w:val="193461"/>
          <w:sz w:val="56"/>
          <w:szCs w:val="56"/>
        </w:rPr>
        <w:t xml:space="preserve">Référentiel du label IDT</w:t>
      </w:r>
    </w:p>
    <w:p>
      <w:pPr>
        <w:spacing w:after="600"/>
      </w:pPr>
      <w:r>
        <w:rPr>
          <w:rFonts w:ascii="Calibri" w:cs="Calibri" w:eastAsia="Calibri" w:hAnsi="Calibri"/>
          <w:color w:val="1F5A4E"/>
          <w:sz w:val="28"/>
          <w:szCs w:val="28"/>
        </w:rPr>
        <w:t xml:space="preserve">Cadre d’évaluation des ressources pédagogiques inclusives référencées dans Pedagoliste</w:t>
      </w:r>
    </w:p>
    <w:p>
      <w:pPr>
        <w:spacing w:after="120" w:line="300"/>
      </w:pPr>
      <w:r>
        <w:rPr>
          <w:rFonts w:ascii="Calibri" w:cs="Calibri" w:eastAsia="Calibri" w:hAnsi="Calibri"/>
          <w:sz w:val="22"/>
          <w:szCs w:val="22"/>
        </w:rPr>
        <w:t xml:space="preserve">Document cadre à l’usage des relecteurs et relectrices : formateurs INSPÉ, enseignants spécialisés, personnels d’accompagnement, documentalistes et toute personne associée à la qualification des ressources du répertoire.</w:t>
      </w:r>
    </w:p>
    <w:p>
      <w:pPr>
        <w:spacing w:after="120" w:line="300"/>
      </w:pPr>
      <w:r>
        <w:rPr>
          <w:rFonts w:ascii="Calibri" w:cs="Calibri" w:eastAsia="Calibri" w:hAnsi="Calibri"/>
          <w:color w:val="5B6878"/>
          <w:sz w:val="22"/>
          <w:szCs w:val="22"/>
        </w:rPr>
        <w:t xml:space="preserve">Version 1.0 — projet soumis à validation du comité de pilotage</w:t>
      </w:r>
      <w:r>
        <w:rPr>
          <w:rFonts w:ascii="Calibri" w:cs="Calibri" w:eastAsia="Calibri" w:hAnsi="Calibri"/>
          <w:color w:val="5B6878"/>
          <w:sz w:val="22"/>
          <w:szCs w:val="22"/>
        </w:rPr>
        <w:t xml:space="preserve"> · Septembre 2026</w:t>
      </w:r>
    </w:p>
    <w:p>
      <w:pPr>
        <w:spacing w:after="120" w:line="300"/>
      </w:pPr>
      <w:r>
        <w:rPr>
          <w:rFonts w:ascii="Calibri" w:cs="Calibri" w:eastAsia="Calibri" w:hAnsi="Calibri"/>
          <w:color w:val="5B6878"/>
          <w:sz w:val="20"/>
          <w:szCs w:val="20"/>
        </w:rPr>
        <w:t xml:space="preserve">Rédaction : équipe Pedagoliste, Pôle Pilote 100 % IDT (INSPÉ d’Amiens, Caen, Lille et Rouen ; Université de Picardie Jules Verne). Programme d’investissements d’avenir, action « Territoires d’innovation pédagogique ».</w:t>
      </w:r>
    </w:p>
    <w:p>
      <w:r>
        <w:br w:type="page"/>
      </w:r>
    </w:p>
    <w:p>
      <w:pPr>
        <w:pStyle w:val="Heading1"/>
        <w:spacing w:after="160" w:before="360"/>
      </w:pPr>
      <w:r>
        <w:rPr>
          <w:rFonts w:ascii="Calibri" w:cs="Calibri" w:eastAsia="Calibri" w:hAnsi="Calibri"/>
        </w:rPr>
        <w:t xml:space="preserve">Sommaire</w:t>
      </w:r>
    </w:p>
    <w:sdt>
      <w:sdtPr>
        <w:alias w:val="Sommaire"/>
      </w:sdtPr>
      <w:sdtContent>
        <w:p>
          <w:r>
            <w:fldChar w:fldCharType="begin" w:dirty="true"/>
            <w:instrText xml:space="preserve">TOC \h \o "1-2"</w:instrText>
            <w:fldChar w:fldCharType="separate"/>
          </w:r>
        </w:p>
        <w:p>
          <w:r>
            <w:fldChar w:fldCharType="end"/>
          </w:r>
        </w:p>
      </w:sdtContent>
    </w:sdt>
    <w:p>
      <w:pPr>
        <w:spacing w:after="120" w:line="300"/>
      </w:pPr>
      <w:r>
        <w:rPr>
          <w:rFonts w:ascii="Calibri" w:cs="Calibri" w:eastAsia="Calibri" w:hAnsi="Calibri"/>
          <w:i/>
          <w:iCs/>
          <w:color w:val="5B6878"/>
          <w:sz w:val="18"/>
          <w:szCs w:val="18"/>
        </w:rPr>
        <w:t xml:space="preserve">Le sommaire se met à jour dans Word par clic droit → Mettre à jour les champs.</w:t>
      </w:r>
    </w:p>
    <w:p>
      <w:r>
        <w:br w:type="page"/>
      </w:r>
    </w:p>
    <w:p>
      <w:pPr>
        <w:pStyle w:val="Heading1"/>
        <w:spacing w:after="160" w:before="360"/>
      </w:pPr>
      <w:r>
        <w:rPr>
          <w:rFonts w:ascii="Calibri" w:cs="Calibri" w:eastAsia="Calibri" w:hAnsi="Calibri"/>
        </w:rPr>
        <w:t xml:space="preserve">1. Objet, champ d’application et principes</w:t>
      </w:r>
    </w:p>
    <w:p>
      <w:pPr>
        <w:pStyle w:val="Heading2"/>
        <w:spacing w:after="120" w:before="280"/>
      </w:pPr>
      <w:r>
        <w:rPr>
          <w:rFonts w:ascii="Calibri" w:cs="Calibri" w:eastAsia="Calibri" w:hAnsi="Calibri"/>
        </w:rPr>
        <w:t xml:space="preserve">1.1 Objet</w:t>
      </w:r>
    </w:p>
    <w:p>
      <w:pPr>
        <w:spacing w:after="120" w:line="300"/>
      </w:pPr>
      <w:r>
        <w:rPr>
          <w:rFonts w:ascii="Calibri" w:cs="Calibri" w:eastAsia="Calibri" w:hAnsi="Calibri"/>
          <w:sz w:val="22"/>
          <w:szCs w:val="22"/>
        </w:rPr>
        <w:t xml:space="preserve">Le label IDT qualifie chaque ressource référencée dans Pedagoliste par une lettre, de A à D, accompagnée de cinq sous-notes. Il répond à une question simple posée par un enseignant ou une enseignante face à un élève à besoins éducatifs particuliers : cette ressource repose-t-elle sur des pratiques dont l’efficacité est établie, est-elle conçue pour la diversité des élèves, et puis-je la mettre en œuvre dans ma classe ?</w:t>
      </w:r>
    </w:p>
    <w:p>
      <w:pPr>
        <w:spacing w:after="120" w:line="300"/>
      </w:pPr>
      <w:r>
        <w:rPr>
          <w:rFonts w:ascii="Calibri" w:cs="Calibri" w:eastAsia="Calibri" w:hAnsi="Calibri"/>
          <w:sz w:val="22"/>
          <w:szCs w:val="22"/>
        </w:rPr>
        <w:t xml:space="preserve">Le label ne remplace ni le jugement professionnel ni la liberté pédagogique. Il rend visible, de façon homogène et traçable, le niveau de confiance que le pôle accorde à une ressource au moment de sa relecture.</w:t>
      </w:r>
    </w:p>
    <w:p>
      <w:pPr>
        <w:pStyle w:val="Heading2"/>
        <w:spacing w:after="120" w:before="280"/>
      </w:pPr>
      <w:r>
        <w:rPr>
          <w:rFonts w:ascii="Calibri" w:cs="Calibri" w:eastAsia="Calibri" w:hAnsi="Calibri"/>
        </w:rPr>
        <w:t xml:space="preserve">1.2 Champ d’application</w:t>
      </w:r>
    </w:p>
    <w:p>
      <w:pPr>
        <w:pStyle w:val="ListParagraph"/>
        <w:numPr>
          <w:ilvl w:val="0"/>
          <w:numId w:val="2"/>
        </w:numPr>
        <w:spacing w:after="80" w:line="300"/>
      </w:pPr>
      <w:r>
        <w:rPr>
          <w:rFonts w:ascii="Calibri" w:cs="Calibri" w:eastAsia="Calibri" w:hAnsi="Calibri"/>
          <w:sz w:val="22"/>
          <w:szCs w:val="22"/>
        </w:rPr>
        <w:t xml:space="preserve">Ressources internes au pôle (fiches, séquences, guides, outils) publiées dans le répertoire.</w:t>
      </w:r>
    </w:p>
    <w:p>
      <w:pPr>
        <w:pStyle w:val="ListParagraph"/>
        <w:numPr>
          <w:ilvl w:val="0"/>
          <w:numId w:val="2"/>
        </w:numPr>
        <w:spacing w:after="80" w:line="300"/>
      </w:pPr>
      <w:r>
        <w:rPr>
          <w:rFonts w:ascii="Calibri" w:cs="Calibri" w:eastAsia="Calibri" w:hAnsi="Calibri"/>
          <w:sz w:val="22"/>
          <w:szCs w:val="22"/>
        </w:rPr>
        <w:t xml:space="preserve">Ressources partenaires référencées (Cap école inclusive, Éduscol, ÊtrePROF, associations, éditeurs), dans la mesure où leur contenu est consultable.</w:t>
      </w:r>
    </w:p>
    <w:p>
      <w:pPr>
        <w:pStyle w:val="ListParagraph"/>
        <w:numPr>
          <w:ilvl w:val="0"/>
          <w:numId w:val="2"/>
        </w:numPr>
        <w:spacing w:after="80" w:line="300"/>
      </w:pPr>
      <w:r>
        <w:rPr>
          <w:rFonts w:ascii="Calibri" w:cs="Calibri" w:eastAsia="Calibri" w:hAnsi="Calibri"/>
          <w:sz w:val="22"/>
          <w:szCs w:val="22"/>
        </w:rPr>
        <w:t xml:space="preserve">Sont exclus : les textes réglementaires et les structures institutionnelles (annuaire), qui relèvent d’une logique de source et non d’évaluation pédagogique.</w:t>
      </w:r>
    </w:p>
    <w:p>
      <w:pPr>
        <w:pStyle w:val="Heading2"/>
        <w:spacing w:after="120" w:before="280"/>
      </w:pPr>
      <w:r>
        <w:rPr>
          <w:rFonts w:ascii="Calibri" w:cs="Calibri" w:eastAsia="Calibri" w:hAnsi="Calibri"/>
        </w:rPr>
        <w:t xml:space="preserve">1.3 Principes</w:t>
      </w:r>
    </w:p>
    <w:p>
      <w:pPr>
        <w:pStyle w:val="ListParagraph"/>
        <w:numPr>
          <w:ilvl w:val="0"/>
          <w:numId w:val="2"/>
        </w:numPr>
        <w:spacing w:after="80" w:line="300"/>
      </w:pPr>
      <w:r>
        <w:rPr>
          <w:rFonts w:ascii="Calibri" w:cs="Calibri" w:eastAsia="Calibri" w:hAnsi="Calibri"/>
          <w:b/>
          <w:bCs/>
          <w:sz w:val="22"/>
          <w:szCs w:val="22"/>
        </w:rPr>
        <w:t xml:space="preserve">Deux objets distincts. </w:t>
      </w:r>
      <w:r>
        <w:rPr>
          <w:rFonts w:ascii="Calibri" w:cs="Calibri" w:eastAsia="Calibri" w:hAnsi="Calibri"/>
          <w:sz w:val="22"/>
          <w:szCs w:val="22"/>
        </w:rPr>
        <w:t xml:space="preserve">On évalue d’une part la pratique que la ressource propose (sa preuve d’efficacité, sa faisabilité, sa pertinence inclusive), d’autre part la ressource elle-même en tant que document (qualité, actualité, accessibilité).</w:t>
      </w:r>
    </w:p>
    <w:p>
      <w:pPr>
        <w:pStyle w:val="ListParagraph"/>
        <w:numPr>
          <w:ilvl w:val="0"/>
          <w:numId w:val="2"/>
        </w:numPr>
        <w:spacing w:after="80" w:line="300"/>
      </w:pPr>
      <w:r>
        <w:rPr>
          <w:rFonts w:ascii="Calibri" w:cs="Calibri" w:eastAsia="Calibri" w:hAnsi="Calibri"/>
          <w:b/>
          <w:bCs/>
          <w:sz w:val="22"/>
          <w:szCs w:val="22"/>
        </w:rPr>
        <w:t xml:space="preserve">Primauté de la preuve. </w:t>
      </w:r>
      <w:r>
        <w:rPr>
          <w:rFonts w:ascii="Calibri" w:cs="Calibri" w:eastAsia="Calibri" w:hAnsi="Calibri"/>
          <w:sz w:val="22"/>
          <w:szCs w:val="22"/>
        </w:rPr>
        <w:t xml:space="preserve">À la manière du Toolkit de l’Education Endowment Foundation, la lettre finale ne peut jamais dépasser d’un cran le niveau de preuve scientifique (critère C1).</w:t>
      </w:r>
    </w:p>
    <w:p>
      <w:pPr>
        <w:pStyle w:val="ListParagraph"/>
        <w:numPr>
          <w:ilvl w:val="0"/>
          <w:numId w:val="2"/>
        </w:numPr>
        <w:spacing w:after="80" w:line="300"/>
      </w:pPr>
      <w:r>
        <w:rPr>
          <w:rFonts w:ascii="Calibri" w:cs="Calibri" w:eastAsia="Calibri" w:hAnsi="Calibri"/>
          <w:b/>
          <w:bCs/>
          <w:sz w:val="22"/>
          <w:szCs w:val="22"/>
        </w:rPr>
        <w:t xml:space="preserve">Primauté inclusive. </w:t>
      </w:r>
      <w:r>
        <w:rPr>
          <w:rFonts w:ascii="Calibri" w:cs="Calibri" w:eastAsia="Calibri" w:hAnsi="Calibri"/>
          <w:sz w:val="22"/>
          <w:szCs w:val="22"/>
        </w:rPr>
        <w:t xml:space="preserve">Aucune ressource ne peut obtenir la lettre A si elle n’est pas conçue pour la diversité des élèves et pertinente pour les publics à besoins particuliers (critères C3 et C4). C’est ce qui distingue le label IDT d’un simple score d’efficacité.</w:t>
      </w:r>
    </w:p>
    <w:p>
      <w:pPr>
        <w:pStyle w:val="ListParagraph"/>
        <w:numPr>
          <w:ilvl w:val="0"/>
          <w:numId w:val="2"/>
        </w:numPr>
        <w:spacing w:after="80" w:line="300"/>
      </w:pPr>
      <w:r>
        <w:rPr>
          <w:rFonts w:ascii="Calibri" w:cs="Calibri" w:eastAsia="Calibri" w:hAnsi="Calibri"/>
          <w:b/>
          <w:bCs/>
          <w:sz w:val="22"/>
          <w:szCs w:val="22"/>
        </w:rPr>
        <w:t xml:space="preserve">Transparence. </w:t>
      </w:r>
      <w:r>
        <w:rPr>
          <w:rFonts w:ascii="Calibri" w:cs="Calibri" w:eastAsia="Calibri" w:hAnsi="Calibri"/>
          <w:sz w:val="22"/>
          <w:szCs w:val="22"/>
        </w:rPr>
        <w:t xml:space="preserve">Chaque évaluation est signée, datée et sourcée ; les cinq sous-notes sont publiées avec la lettre.</w:t>
      </w:r>
    </w:p>
    <w:p>
      <w:pPr>
        <w:pStyle w:val="ListParagraph"/>
        <w:numPr>
          <w:ilvl w:val="0"/>
          <w:numId w:val="2"/>
        </w:numPr>
        <w:spacing w:after="80" w:line="300"/>
      </w:pPr>
      <w:r>
        <w:rPr>
          <w:rFonts w:ascii="Calibri" w:cs="Calibri" w:eastAsia="Calibri" w:hAnsi="Calibri"/>
          <w:b/>
          <w:bCs/>
          <w:sz w:val="22"/>
          <w:szCs w:val="22"/>
        </w:rPr>
        <w:t xml:space="preserve">Non-évaluation assumée. </w:t>
      </w:r>
      <w:r>
        <w:rPr>
          <w:rFonts w:ascii="Calibri" w:cs="Calibri" w:eastAsia="Calibri" w:hAnsi="Calibri"/>
          <w:sz w:val="22"/>
          <w:szCs w:val="22"/>
        </w:rPr>
        <w:t xml:space="preserve">Une ressource non encore relue est affichée « non évaluée ». Elle n’est jamais convertie en D par défaut.</w:t>
      </w:r>
    </w:p>
    <w:p>
      <w:pPr>
        <w:pStyle w:val="Heading1"/>
        <w:spacing w:after="160" w:before="360"/>
      </w:pPr>
      <w:r>
        <w:rPr>
          <w:rFonts w:ascii="Calibri" w:cs="Calibri" w:eastAsia="Calibri" w:hAnsi="Calibri"/>
        </w:rPr>
        <w:t xml:space="preserve">2. Cadres de référence</w:t>
      </w:r>
    </w:p>
    <w:p>
      <w:pPr>
        <w:spacing w:after="120" w:line="300"/>
      </w:pPr>
      <w:r>
        <w:rPr>
          <w:rFonts w:ascii="Calibri" w:cs="Calibri" w:eastAsia="Calibri" w:hAnsi="Calibri"/>
          <w:sz w:val="22"/>
          <w:szCs w:val="22"/>
        </w:rPr>
        <w:t xml:space="preserve">Le référentiel s’appuie sur des cadres publiés et reconnus, retenus pour ce qu’ils mesurent précisément. Les citations sont reproduites dans leur langue d’origine ; une traduction de travail est proposée entre crochets lorsque nécessaire.</w:t>
      </w:r>
    </w:p>
    <w:p>
      <w:pPr>
        <w:pStyle w:val="Heading2"/>
        <w:spacing w:after="120" w:before="280"/>
      </w:pPr>
      <w:r>
        <w:rPr>
          <w:rFonts w:ascii="Calibri" w:cs="Calibri" w:eastAsia="Calibri" w:hAnsi="Calibri"/>
        </w:rPr>
        <w:t xml:space="preserve">2.1 Efficacité des pratiques : Education Endowment Foundation</w:t>
      </w:r>
    </w:p>
    <w:p>
      <w:pPr>
        <w:spacing w:after="120" w:line="300"/>
      </w:pPr>
      <w:r>
        <w:rPr>
          <w:rFonts w:ascii="Calibri" w:cs="Calibri" w:eastAsia="Calibri" w:hAnsi="Calibri"/>
          <w:sz w:val="22"/>
          <w:szCs w:val="22"/>
        </w:rPr>
        <w:t xml:space="preserve">Le Teaching and Learning Toolkit résume, pour chaque approche pédagogique, trois mesures : l’impact (exprimé en mois de progrès supplémentaires, à partir des tailles d’effet des études), la solidité de la preuve (de un à cinq cadenas) et le coût (bandes de coût par élève). La méthode d’attribution des cadenas est explicitement soustractive :</w:t>
      </w:r>
    </w:p>
    <w:p>
      <w:pPr>
        <w:pBdr>
          <w:left w:val="single" w:color="1F5A4E" w:sz="12" w:space="8"/>
        </w:pBdr>
        <w:spacing w:after="160" w:before="80" w:line="300"/>
        <w:ind w:left="720" w:right="720"/>
      </w:pPr>
      <w:r>
        <w:rPr>
          <w:rFonts w:ascii="Calibri" w:cs="Calibri" w:eastAsia="Calibri" w:hAnsi="Calibri"/>
          <w:i/>
          <w:iCs/>
          <w:sz w:val="21"/>
          <w:szCs w:val="21"/>
        </w:rPr>
        <w:t xml:space="preserve">« Topics are awarded padlocks based on the number of studies that meet the Toolkit inclusion criteria, with additional padlocks then lost due to a number of potential threats to evidence security. »</w:t>
      </w:r>
      <w:r>
        <w:rPr>
          <w:rFonts w:ascii="Calibri" w:cs="Calibri" w:eastAsia="Calibri" w:hAnsi="Calibri"/>
          <w:color w:val="5B6878"/>
          <w:sz w:val="20"/>
          <w:szCs w:val="20"/>
        </w:rPr>
        <w:t xml:space="preserve"> (Evidence for Learning, s. d.) [Les thèmes reçoivent des cadenas selon le nombre d’études recevables, puis en perdent en fonction des menaces pesant sur la sécurité de la preuve.]</w:t>
      </w:r>
    </w:p>
    <w:p>
      <w:pPr>
        <w:spacing w:after="120" w:line="300"/>
      </w:pPr>
      <w:r>
        <w:rPr>
          <w:rFonts w:ascii="Calibri" w:cs="Calibri" w:eastAsia="Calibri" w:hAnsi="Calibri"/>
          <w:sz w:val="22"/>
          <w:szCs w:val="22"/>
        </w:rPr>
        <w:t xml:space="preserve">Les études recevables « take place in schools rather than lab-studies » et « involve a comparison group » (Evidence for Learning, s. d.). Pour ses propres évaluations, l’EEF applique une grille de sécurité fondée sur le plan d’étude, la taille d’échantillon et l’attrition (Education Endowment Foundation, 2019). Le référentiel IDT en retient la triade preuve / impact / coût et la règle de plafonnement par la preuve.</w:t>
      </w:r>
    </w:p>
    <w:p>
      <w:pPr>
        <w:pStyle w:val="Heading2"/>
        <w:spacing w:after="120" w:before="280"/>
      </w:pPr>
      <w:r>
        <w:rPr>
          <w:rFonts w:ascii="Calibri" w:cs="Calibri" w:eastAsia="Calibri" w:hAnsi="Calibri"/>
        </w:rPr>
        <w:t xml:space="preserve">2.2 Standards de recevabilité : What Works Clearinghouse</w:t>
      </w:r>
    </w:p>
    <w:p>
      <w:pPr>
        <w:spacing w:after="120" w:line="300"/>
      </w:pPr>
      <w:r>
        <w:rPr>
          <w:rFonts w:ascii="Calibri" w:cs="Calibri" w:eastAsia="Calibri" w:hAnsi="Calibri"/>
          <w:sz w:val="22"/>
          <w:szCs w:val="22"/>
        </w:rPr>
        <w:t xml:space="preserve">Le What Works Clearinghouse de l’Institute of Education Sciences classe chaque étude selon la rigueur de son plan. Les essais randomisés à faible attrition peuvent « répondre aux standards sans réserve » ; les plans quasi-expérimentaux sont plafonnés :</w:t>
      </w:r>
    </w:p>
    <w:p>
      <w:pPr>
        <w:pBdr>
          <w:left w:val="single" w:color="1F5A4E" w:sz="12" w:space="8"/>
        </w:pBdr>
        <w:spacing w:after="160" w:before="80" w:line="300"/>
        <w:ind w:left="720" w:right="720"/>
      </w:pPr>
      <w:r>
        <w:rPr>
          <w:rFonts w:ascii="Calibri" w:cs="Calibri" w:eastAsia="Calibri" w:hAnsi="Calibri"/>
          <w:i/>
          <w:iCs/>
          <w:sz w:val="21"/>
          <w:szCs w:val="21"/>
        </w:rPr>
        <w:t xml:space="preserve">« Quasi-experimental design studies that demonstrate baseline equivalence can receive a WWC rating no higher than “Meets WWC Group Design Standards With Reservations”. »</w:t>
      </w:r>
      <w:r>
        <w:rPr>
          <w:rFonts w:ascii="Calibri" w:cs="Calibri" w:eastAsia="Calibri" w:hAnsi="Calibri"/>
          <w:color w:val="5B6878"/>
          <w:sz w:val="20"/>
          <w:szCs w:val="20"/>
        </w:rPr>
        <w:t xml:space="preserve"> (What Works Clearinghouse, 2022) [Les études quasi-expérimentales démontrant l’équivalence initiale ne peuvent obtenir mieux que « répond aux standards avec réserve ».]</w:t>
      </w:r>
    </w:p>
    <w:p>
      <w:pPr>
        <w:spacing w:after="120" w:line="300"/>
      </w:pPr>
      <w:r>
        <w:rPr>
          <w:rFonts w:ascii="Calibri" w:cs="Calibri" w:eastAsia="Calibri" w:hAnsi="Calibri"/>
          <w:sz w:val="22"/>
          <w:szCs w:val="22"/>
        </w:rPr>
        <w:t xml:space="preserve">Cette hiérarchie à paliers (essai randomisé, quasi-expérimental avec équivalence, autres plans) fonde les niveaux 3, 2 et 1 du critère C1.</w:t>
      </w:r>
    </w:p>
    <w:p>
      <w:pPr>
        <w:pStyle w:val="Heading2"/>
        <w:spacing w:after="120" w:before="280"/>
      </w:pPr>
      <w:r>
        <w:rPr>
          <w:rFonts w:ascii="Calibri" w:cs="Calibri" w:eastAsia="Calibri" w:hAnsi="Calibri"/>
        </w:rPr>
        <w:t xml:space="preserve">2.3 Qualité d’une ressource : rubriques Achieve pour les REL</w:t>
      </w:r>
    </w:p>
    <w:p>
      <w:pPr>
        <w:spacing w:after="120" w:line="300"/>
      </w:pPr>
      <w:r>
        <w:rPr>
          <w:rFonts w:ascii="Calibri" w:cs="Calibri" w:eastAsia="Calibri" w:hAnsi="Calibri"/>
          <w:sz w:val="22"/>
          <w:szCs w:val="22"/>
        </w:rPr>
        <w:t xml:space="preserve">Achieve (2011) propose huit rubriques pour évaluer un objet de ressource éducative libre : alignement aux standards, qualité de l’explication, utilité pour l’enseignement, qualité de l’évaluation, interactivité, exercices, apprentissage en profondeur et assurance d’accessibilité. Cette dernière n’est pas graduée :</w:t>
      </w:r>
    </w:p>
    <w:p>
      <w:pPr>
        <w:pBdr>
          <w:left w:val="single" w:color="1F5A4E" w:sz="12" w:space="8"/>
        </w:pBdr>
        <w:spacing w:after="160" w:before="80" w:line="300"/>
        <w:ind w:left="720" w:right="720"/>
      </w:pPr>
      <w:r>
        <w:rPr>
          <w:rFonts w:ascii="Calibri" w:cs="Calibri" w:eastAsia="Calibri" w:hAnsi="Calibri"/>
          <w:i/>
          <w:iCs/>
          <w:sz w:val="21"/>
          <w:szCs w:val="21"/>
        </w:rPr>
        <w:t xml:space="preserve">« [Rubric VIII] does not ask reviewers to make a judgment on the degree of object quality, but instead requests that a determination (yes/no) of characteristics be made that may determine the degree to which the materials are accessible. »</w:t>
      </w:r>
      <w:r>
        <w:rPr>
          <w:rFonts w:ascii="Calibri" w:cs="Calibri" w:eastAsia="Calibri" w:hAnsi="Calibri"/>
          <w:color w:val="5B6878"/>
          <w:sz w:val="20"/>
          <w:szCs w:val="20"/>
        </w:rPr>
        <w:t xml:space="preserve"> (Achieve, 2011) [La rubrique VIII demande un constat oui/non des caractéristiques d’accessibilité, non un jugement de qualité.]</w:t>
      </w:r>
    </w:p>
    <w:p>
      <w:pPr>
        <w:spacing w:after="120" w:line="300"/>
      </w:pPr>
      <w:r>
        <w:rPr>
          <w:rFonts w:ascii="Calibri" w:cs="Calibri" w:eastAsia="Calibri" w:hAnsi="Calibri"/>
          <w:sz w:val="22"/>
          <w:szCs w:val="22"/>
        </w:rPr>
        <w:t xml:space="preserve">Le critère C5 reprend cette logique : la qualité documentaire est graduée, mais l’accessibilité du support agit comme un seuil.</w:t>
      </w:r>
    </w:p>
    <w:p>
      <w:pPr>
        <w:pStyle w:val="Heading2"/>
        <w:spacing w:after="120" w:before="280"/>
      </w:pPr>
      <w:r>
        <w:rPr>
          <w:rFonts w:ascii="Calibri" w:cs="Calibri" w:eastAsia="Calibri" w:hAnsi="Calibri"/>
        </w:rPr>
        <w:t xml:space="preserve">2.4 Conception inclusive : lignes directrices UDL 3.0 du CAST</w:t>
      </w:r>
    </w:p>
    <w:p>
      <w:pPr>
        <w:spacing w:after="120" w:line="300"/>
      </w:pPr>
      <w:r>
        <w:rPr>
          <w:rFonts w:ascii="Calibri" w:cs="Calibri" w:eastAsia="Calibri" w:hAnsi="Calibri"/>
          <w:sz w:val="22"/>
          <w:szCs w:val="22"/>
        </w:rPr>
        <w:t xml:space="preserve">Les lignes directrices de la conception universelle de l’apprentissage organisent la variabilité des apprenants selon trois principes : engagement (le pourquoi), représentation (le quoi), action et expression (le comment). La version 3.0 ajoute une dimension transversale :</w:t>
      </w:r>
    </w:p>
    <w:p>
      <w:pPr>
        <w:pBdr>
          <w:left w:val="single" w:color="1F5A4E" w:sz="12" w:space="8"/>
        </w:pBdr>
        <w:spacing w:after="160" w:before="80" w:line="300"/>
        <w:ind w:left="720" w:right="720"/>
      </w:pPr>
      <w:r>
        <w:rPr>
          <w:rFonts w:ascii="Calibri" w:cs="Calibri" w:eastAsia="Calibri" w:hAnsi="Calibri"/>
          <w:i/>
          <w:iCs/>
          <w:sz w:val="21"/>
          <w:szCs w:val="21"/>
        </w:rPr>
        <w:t xml:space="preserve">« This current iteration also emphasizes learners’ multiple and intersecting identities as part of variability. »</w:t>
      </w:r>
      <w:r>
        <w:rPr>
          <w:rFonts w:ascii="Calibri" w:cs="Calibri" w:eastAsia="Calibri" w:hAnsi="Calibri"/>
          <w:color w:val="5B6878"/>
          <w:sz w:val="20"/>
          <w:szCs w:val="20"/>
        </w:rPr>
        <w:t xml:space="preserve"> (CAST, 2024) [Cette version met aussi l’accent sur les identités multiples et croisées des apprenants comme composante de la variabilité.]</w:t>
      </w:r>
    </w:p>
    <w:p>
      <w:pPr>
        <w:spacing w:after="120" w:line="300"/>
      </w:pPr>
      <w:r>
        <w:rPr>
          <w:rFonts w:ascii="Calibri" w:cs="Calibri" w:eastAsia="Calibri" w:hAnsi="Calibri"/>
          <w:sz w:val="22"/>
          <w:szCs w:val="22"/>
        </w:rPr>
        <w:t xml:space="preserve">Le critère C3 évalue la ressource au regard de ces trois principes, en distinguant ce qui est conçu d’emblée pour tous de ce qui relève d’un aménagement séparé.</w:t>
      </w:r>
    </w:p>
    <w:p>
      <w:pPr>
        <w:pStyle w:val="Heading2"/>
        <w:spacing w:after="120" w:before="280"/>
      </w:pPr>
      <w:r>
        <w:rPr>
          <w:rFonts w:ascii="Calibri" w:cs="Calibri" w:eastAsia="Calibri" w:hAnsi="Calibri"/>
        </w:rPr>
        <w:t xml:space="preserve">2.5 Accessibilité du support : RGAA</w:t>
      </w:r>
    </w:p>
    <w:p>
      <w:pPr>
        <w:spacing w:after="120" w:line="300"/>
      </w:pPr>
      <w:r>
        <w:rPr>
          <w:rFonts w:ascii="Calibri" w:cs="Calibri" w:eastAsia="Calibri" w:hAnsi="Calibri"/>
          <w:sz w:val="22"/>
          <w:szCs w:val="22"/>
        </w:rPr>
        <w:t xml:space="preserve">Le Référentiel général d’amélioration de l’accessibilité décline les WCAG en 106 critères organisés en 13 thématiques (images, tableaux, couleurs, multimédia, formulaires, etc.) (Direction interministérielle du numérique, 2023). Un répertoire dédié à l’école inclusive ne peut pas recommander au plus haut niveau un document que certains élèves ou enseignants ne peuvent pas lire ; le RGAA fournit la référence technique du seuil retenu en C5.</w:t>
      </w:r>
    </w:p>
    <w:p>
      <w:pPr>
        <w:pStyle w:val="Heading2"/>
        <w:spacing w:after="120" w:before="280"/>
      </w:pPr>
      <w:r>
        <w:rPr>
          <w:rFonts w:ascii="Calibri" w:cs="Calibri" w:eastAsia="Calibri" w:hAnsi="Calibri"/>
        </w:rPr>
        <w:t xml:space="preserve">2.6 Cadre national : Conseil scientifique de l’éducation nationale</w:t>
      </w:r>
    </w:p>
    <w:p>
      <w:pPr>
        <w:spacing w:after="120" w:line="300"/>
      </w:pPr>
      <w:r>
        <w:rPr>
          <w:rFonts w:ascii="Calibri" w:cs="Calibri" w:eastAsia="Calibri" w:hAnsi="Calibri"/>
          <w:sz w:val="22"/>
          <w:szCs w:val="22"/>
        </w:rPr>
        <w:t xml:space="preserve">Le CSEN diffuse une boîte à outils invitant les équipes à hiérarchiser les sources (méta-analyses, essais contrôlés, études corrélationnelles, avis d’experts) et à s’appuyer sur la recherche translationnelle (Conseil scientifique de l’éducation nationale, s. d.). Le critère C1 est formulé dans ce vocabulaire pour rester lisible par les formateurs français.</w:t>
      </w:r>
    </w:p>
    <w:p>
      <w:pPr>
        <w:pStyle w:val="Heading2"/>
        <w:spacing w:after="120" w:before="280"/>
      </w:pPr>
      <w:r>
        <w:rPr>
          <w:rFonts w:ascii="Calibri" w:cs="Calibri" w:eastAsia="Calibri" w:hAnsi="Calibri"/>
        </w:rPr>
        <w:t xml:space="preserve">2.7 Ce que ces cadres ne couvrent pas</w:t>
      </w:r>
    </w:p>
    <w:p>
      <w:pPr>
        <w:spacing w:after="120" w:line="300"/>
      </w:pPr>
      <w:r>
        <w:rPr>
          <w:rFonts w:ascii="Calibri" w:cs="Calibri" w:eastAsia="Calibri" w:hAnsi="Calibri"/>
          <w:sz w:val="22"/>
          <w:szCs w:val="22"/>
        </w:rPr>
        <w:t xml:space="preserve">Aucun de ces cadres ne combine, dans une même note, la preuve d’efficacité, la conception inclusive et la faisabilité en classe ordinaire. Réseau Canopé rappelle d’ailleurs qu’un environnement numérique n’est inclusif que « s’il permet à l’enfant ou adolescent de trouver sa place en tant qu’apprenant et en tant qu’élève dans l’écosystème pédagogique et didactique » (Réseau Canopé, s. d.). Le label IDT se situe à cette intersection.</w:t>
      </w:r>
    </w:p>
    <w:p>
      <w:pPr>
        <w:pStyle w:val="Heading1"/>
        <w:spacing w:after="160" w:before="360"/>
      </w:pPr>
      <w:r>
        <w:rPr>
          <w:rFonts w:ascii="Calibri" w:cs="Calibri" w:eastAsia="Calibri" w:hAnsi="Calibri"/>
        </w:rPr>
        <w:t xml:space="preserve">3. Les cinq critères</w:t>
      </w:r>
    </w:p>
    <w:p>
      <w:pPr>
        <w:spacing w:after="120" w:line="300"/>
      </w:pPr>
      <w:r>
        <w:rPr>
          <w:rFonts w:ascii="Calibri" w:cs="Calibri" w:eastAsia="Calibri" w:hAnsi="Calibri"/>
          <w:sz w:val="22"/>
          <w:szCs w:val="22"/>
        </w:rPr>
        <w:t xml:space="preserve">Chaque critère est noté de 0 à 3 à l’aide des descripteurs ci-dessous. La note retenue est celle du descripteur entièrement satisfait ; en cas d’hésitation entre deux niveaux, on retient le plus bas et on le justifie dans la grille.</w:t>
      </w:r>
    </w:p>
    <w:p>
      <w:pPr>
        <w:pStyle w:val="Heading2"/>
        <w:spacing w:after="120" w:before="280"/>
      </w:pPr>
      <w:r>
        <w:rPr>
          <w:rFonts w:ascii="Calibri" w:cs="Calibri" w:eastAsia="Calibri" w:hAnsi="Calibri"/>
        </w:rPr>
        <w:t xml:space="preserve">C1 — Assise scientifique de la pratique</w:t>
      </w:r>
    </w:p>
    <w:p>
      <w:pPr>
        <w:spacing w:after="120" w:line="300"/>
      </w:pPr>
      <w:r>
        <w:rPr>
          <w:rFonts w:ascii="Calibri" w:cs="Calibri" w:eastAsia="Calibri" w:hAnsi="Calibri"/>
          <w:b/>
          <w:bCs/>
          <w:sz w:val="22"/>
          <w:szCs w:val="22"/>
        </w:rPr>
        <w:t xml:space="preserve">Objet : </w:t>
      </w:r>
      <w:r>
        <w:rPr>
          <w:rFonts w:ascii="Calibri" w:cs="Calibri" w:eastAsia="Calibri" w:hAnsi="Calibri"/>
          <w:sz w:val="22"/>
          <w:szCs w:val="22"/>
        </w:rPr>
        <w:t xml:space="preserve">la pratique, la méthode ou le principe que la ressource propose de mettre en œuvre. Sources : EEF, WWC, CSEN.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rPr>
          <w:cantSplit/>
          <w:tblHeader/>
        </w:trPr>
        <w:tc>
          <w:tcPr>
            <w:tcW w:type="dxa" w:w="90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Note</w:t>
            </w:r>
          </w:p>
        </w:tc>
        <w:tc>
          <w:tcPr>
            <w:tcW w:type="dxa" w:w="846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Descripteur</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0</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Aucune source, ou source non identifiable ; la pratique repose sur une affirmation.</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1</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Avis d’experts, texte institutionnel, étude descriptive ou témoignage isolé, sans groupe de comparaison.</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2</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Plusieurs études avec groupe de comparaison (quasi-expérimentales ou randomisées de petite taille), ou une revue de littérature narrative.</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3</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Méta-analyse, revue systématique ou essais contrôlés convergents ; résultats cohérents et datant de moins de quinze ans.</w:t>
            </w:r>
          </w:p>
        </w:tc>
      </w:tr>
    </w:tbl>
    <w:p>
      <w:pPr>
        <w:spacing w:after="120" w:line="300"/>
      </w:pPr>
      <w:r>
        <w:rPr>
          <w:rFonts w:ascii="Calibri" w:cs="Calibri" w:eastAsia="Calibri" w:hAnsi="Calibri"/>
          <w:b/>
          <w:bCs/>
          <w:sz w:val="22"/>
          <w:szCs w:val="22"/>
        </w:rPr>
        <w:t xml:space="preserve">Indications : </w:t>
      </w:r>
      <w:r>
        <w:rPr>
          <w:rFonts w:ascii="Calibri" w:cs="Calibri" w:eastAsia="Calibri" w:hAnsi="Calibri"/>
          <w:sz w:val="22"/>
          <w:szCs w:val="22"/>
        </w:rPr>
        <w:t xml:space="preserve">consulter en priorité le Toolkit de l’EEF et les bases WWC ou ERIC ; noter la référence utilisée dans la grille. Une étude menée hors contexte scolaire ne peut pas justifier le niveau 3.</w:t>
      </w:r>
    </w:p>
    <w:p>
      <w:pPr>
        <w:pStyle w:val="Heading2"/>
        <w:spacing w:after="120" w:before="280"/>
      </w:pPr>
      <w:r>
        <w:rPr>
          <w:rFonts w:ascii="Calibri" w:cs="Calibri" w:eastAsia="Calibri" w:hAnsi="Calibri"/>
        </w:rPr>
        <w:t xml:space="preserve">C2 — Faisabilité en classe ordinaire</w:t>
      </w:r>
    </w:p>
    <w:p>
      <w:pPr>
        <w:spacing w:after="120" w:line="300"/>
      </w:pPr>
      <w:r>
        <w:rPr>
          <w:rFonts w:ascii="Calibri" w:cs="Calibri" w:eastAsia="Calibri" w:hAnsi="Calibri"/>
          <w:b/>
          <w:bCs/>
          <w:sz w:val="22"/>
          <w:szCs w:val="22"/>
        </w:rPr>
        <w:t xml:space="preserve">Objet : </w:t>
      </w:r>
      <w:r>
        <w:rPr>
          <w:rFonts w:ascii="Calibri" w:cs="Calibri" w:eastAsia="Calibri" w:hAnsi="Calibri"/>
          <w:sz w:val="22"/>
          <w:szCs w:val="22"/>
        </w:rPr>
        <w:t xml:space="preserve">ce qu’il en coûte, en temps, en matériel et en compétences, pour mettre la pratique en œuvre sans moyens supplémentaires. Sources : mesure de coût et guide de mise en œuvre de l’EEF.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rPr>
          <w:cantSplit/>
          <w:tblHeader/>
        </w:trPr>
        <w:tc>
          <w:tcPr>
            <w:tcW w:type="dxa" w:w="90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Note</w:t>
            </w:r>
          </w:p>
        </w:tc>
        <w:tc>
          <w:tcPr>
            <w:tcW w:type="dxa" w:w="846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Descripteur</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0</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Dispositif lourd : personnel dédié, réorganisation de l’établissement, budget spécifique.</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1</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Formation préalable ou intervenant extérieur nécessaire.</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2</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Temps de préparation ou petit matériel ; applicable par l’enseignant seul, dans sa classe.</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3</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Gratuit, immédiat, sans matériel ni formation ; transposable à d’autres niveaux.</w:t>
            </w:r>
          </w:p>
        </w:tc>
      </w:tr>
    </w:tbl>
    <w:p>
      <w:pPr>
        <w:pStyle w:val="Heading2"/>
        <w:spacing w:after="120" w:before="280"/>
      </w:pPr>
      <w:r>
        <w:rPr>
          <w:rFonts w:ascii="Calibri" w:cs="Calibri" w:eastAsia="Calibri" w:hAnsi="Calibri"/>
        </w:rPr>
        <w:t xml:space="preserve">C3 — Conception universelle</w:t>
      </w:r>
    </w:p>
    <w:p>
      <w:pPr>
        <w:spacing w:after="120" w:line="300"/>
      </w:pPr>
      <w:r>
        <w:rPr>
          <w:rFonts w:ascii="Calibri" w:cs="Calibri" w:eastAsia="Calibri" w:hAnsi="Calibri"/>
          <w:b/>
          <w:bCs/>
          <w:sz w:val="22"/>
          <w:szCs w:val="22"/>
        </w:rPr>
        <w:t xml:space="preserve">Objet : </w:t>
      </w:r>
      <w:r>
        <w:rPr>
          <w:rFonts w:ascii="Calibri" w:cs="Calibri" w:eastAsia="Calibri" w:hAnsi="Calibri"/>
          <w:sz w:val="22"/>
          <w:szCs w:val="22"/>
        </w:rPr>
        <w:t xml:space="preserve">la ressource offre-t-elle plusieurs moyens de percevoir, d’agir et de s’engager, pour tous les élèves plutôt qu’en aménagement séparé ? Source : CAST, UDL 3.0. Critère inclusif.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rPr>
          <w:cantSplit/>
          <w:tblHeader/>
        </w:trPr>
        <w:tc>
          <w:tcPr>
            <w:tcW w:type="dxa" w:w="90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Note</w:t>
            </w:r>
          </w:p>
        </w:tc>
        <w:tc>
          <w:tcPr>
            <w:tcW w:type="dxa" w:w="846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Descripteur</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0</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Un seul format, une seule modalité de réponse, aucun choix laissé à l’élève.</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1</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Des adaptations sont possibles, mais entièrement à construire par l’enseignant.</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2</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Des variantes sont prévues sur au moins deux des trois principes (représentation, action et expression, engagement).</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3</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Conçue d’emblée pour la diversité sur les trois principes ; les options sont offertes à tous, sans stigmatiser ni séparer.</w:t>
            </w:r>
          </w:p>
        </w:tc>
      </w:tr>
    </w:tbl>
    <w:p>
      <w:pPr>
        <w:pStyle w:val="Heading2"/>
        <w:spacing w:after="120" w:before="280"/>
      </w:pPr>
      <w:r>
        <w:rPr>
          <w:rFonts w:ascii="Calibri" w:cs="Calibri" w:eastAsia="Calibri" w:hAnsi="Calibri"/>
        </w:rPr>
        <w:t xml:space="preserve">C4 — Pertinence pour les élèves à besoins éducatifs particuliers</w:t>
      </w:r>
    </w:p>
    <w:p>
      <w:pPr>
        <w:spacing w:after="120" w:line="300"/>
      </w:pPr>
      <w:r>
        <w:rPr>
          <w:rFonts w:ascii="Calibri" w:cs="Calibri" w:eastAsia="Calibri" w:hAnsi="Calibri"/>
          <w:b/>
          <w:bCs/>
          <w:sz w:val="22"/>
          <w:szCs w:val="22"/>
        </w:rPr>
        <w:t xml:space="preserve">Objet : </w:t>
      </w:r>
      <w:r>
        <w:rPr>
          <w:rFonts w:ascii="Calibri" w:cs="Calibri" w:eastAsia="Calibri" w:hAnsi="Calibri"/>
          <w:sz w:val="22"/>
          <w:szCs w:val="22"/>
        </w:rPr>
        <w:t xml:space="preserve">la preuve ou l’expérience documentée porte-t-elle sur les profils rencontrés par les enseignants du pôle (troubles des apprentissages, TDAH, troubles du spectre de l’autisme, allophonie, handicap moteur ou sensoriel, grande difficulté scolaire) ? Critère inclusif, propre au label IDT.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rPr>
          <w:cantSplit/>
          <w:tblHeader/>
        </w:trPr>
        <w:tc>
          <w:tcPr>
            <w:tcW w:type="dxa" w:w="90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Note</w:t>
            </w:r>
          </w:p>
        </w:tc>
        <w:tc>
          <w:tcPr>
            <w:tcW w:type="dxa" w:w="846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Descripteur</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0</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Public cible non précisé.</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1</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Effet documenté sur la population générale seulement ; le transfert aux élèves à besoins particuliers est supposé.</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2</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Effet ou retour d’expérience documenté sur des profils proches, ou ressource co-conçue avec des professionnels de l’inclusion (enseignants spécialisés, RASED, professionnels de santé).</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3</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Effet documenté sur le public visé, avec des indications de mise en œuvre spécifiques à ces profils (points de vigilance, ajustements, contre-indications).</w:t>
            </w:r>
          </w:p>
        </w:tc>
      </w:tr>
    </w:tbl>
    <w:p>
      <w:pPr>
        <w:pStyle w:val="Heading2"/>
        <w:spacing w:after="120" w:before="280"/>
      </w:pPr>
      <w:r>
        <w:rPr>
          <w:rFonts w:ascii="Calibri" w:cs="Calibri" w:eastAsia="Calibri" w:hAnsi="Calibri"/>
        </w:rPr>
        <w:t xml:space="preserve">C5 — Qualité et accessibilité de la ressource</w:t>
      </w:r>
    </w:p>
    <w:p>
      <w:pPr>
        <w:spacing w:after="120" w:line="300"/>
      </w:pPr>
      <w:r>
        <w:rPr>
          <w:rFonts w:ascii="Calibri" w:cs="Calibri" w:eastAsia="Calibri" w:hAnsi="Calibri"/>
          <w:b/>
          <w:bCs/>
          <w:sz w:val="22"/>
          <w:szCs w:val="22"/>
        </w:rPr>
        <w:t xml:space="preserve">Objet : </w:t>
      </w:r>
      <w:r>
        <w:rPr>
          <w:rFonts w:ascii="Calibri" w:cs="Calibri" w:eastAsia="Calibri" w:hAnsi="Calibri"/>
          <w:sz w:val="22"/>
          <w:szCs w:val="22"/>
        </w:rPr>
        <w:t xml:space="preserve">le document lui-même : auteur, actualité, description de la démarche, licence, accessibilité du support. Sources : rubriques Achieve, RGAA.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rPr>
          <w:cantSplit/>
          <w:tblHeader/>
        </w:trPr>
        <w:tc>
          <w:tcPr>
            <w:tcW w:type="dxa" w:w="90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Note</w:t>
            </w:r>
          </w:p>
        </w:tc>
        <w:tc>
          <w:tcPr>
            <w:tcW w:type="dxa" w:w="8460"/>
            <w:shd w:fill="1F5A4E"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Descripteur</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0</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Auteur inconnu, contenu manifestement daté ou lien mort.</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1</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Source identifiée, mais démarche peu décrite ou support non accessible (PDF image, vidéo sans sous-titres, contrastes insuffisants).</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2</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Démarche décrite pas à pas, mise à jour de moins de cinq ans, support lisible et navigable.</w:t>
            </w:r>
          </w:p>
        </w:tc>
      </w:tr>
      <w:tr>
        <w:trPr>
          <w:cantSplit/>
          <w:tblHeader w:val="false"/>
        </w:trPr>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3</w:t>
            </w:r>
          </w:p>
        </w:tc>
        <w:tc>
          <w:tcPr>
            <w:tcW w:type="dxa" w:w="84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Tout ce qui précède, plus une licence de réutilisation claire et un support conforme aux règles d’accessibilité (structure, alternatives textuelles, contrastes).</w:t>
            </w:r>
          </w:p>
        </w:tc>
      </w:tr>
    </w:tbl>
    <w:p>
      <w:pPr>
        <w:pStyle w:val="Heading1"/>
        <w:spacing w:after="160" w:before="360"/>
      </w:pPr>
      <w:r>
        <w:rPr>
          <w:rFonts w:ascii="Calibri" w:cs="Calibri" w:eastAsia="Calibri" w:hAnsi="Calibri"/>
        </w:rPr>
        <w:t xml:space="preserve">4. Attribution de la lettre</w:t>
      </w:r>
    </w:p>
    <w:p>
      <w:pPr>
        <w:spacing w:after="120" w:line="300"/>
      </w:pPr>
      <w:r>
        <w:rPr>
          <w:rFonts w:ascii="Calibri" w:cs="Calibri" w:eastAsia="Calibri" w:hAnsi="Calibri"/>
          <w:sz w:val="22"/>
          <w:szCs w:val="22"/>
        </w:rPr>
        <w:t xml:space="preserve">Le total est calculé sur 15. Les seuils ci-dessous s’appliquent dans l’ordre : on vérifie d’abord les conditions de la lettre A, puis B, puis C ; à défaut, la lettre est 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3200"/>
        <w:gridCol w:w="5060"/>
      </w:tblGrid>
      <w:tr>
        <w:trPr>
          <w:cantSplit/>
          <w:tblHeader/>
        </w:trPr>
        <w:tc>
          <w:tcPr>
            <w:tcW w:type="dxa" w:w="11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Lettre</w:t>
            </w:r>
          </w:p>
        </w:tc>
        <w:tc>
          <w:tcPr>
            <w:tcW w:type="dxa" w:w="32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Conditions</w:t>
            </w:r>
          </w:p>
        </w:tc>
        <w:tc>
          <w:tcPr>
            <w:tcW w:type="dxa" w:w="506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Lecture pour l’utilisateur</w:t>
            </w:r>
          </w:p>
        </w:tc>
      </w:tr>
      <w:tr>
        <w:trPr>
          <w:cantSplit/>
          <w:tblHeader w:val="false"/>
        </w:trPr>
        <w:tc>
          <w:tcPr>
            <w:tcW w:type="dxa" w:w="11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A</w:t>
            </w:r>
          </w:p>
        </w:tc>
        <w:tc>
          <w:tcPr>
            <w:tcW w:type="dxa" w:w="3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Total de 12 à 15, et C1 = 3, et C3 + C4 ≥ 5.</w:t>
            </w:r>
          </w:p>
        </w:tc>
        <w:tc>
          <w:tcPr>
            <w:tcW w:type="dxa" w:w="50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Pratique prouvée, conçue pour tous, applicable en classe. Recommandée sans réserve.</w:t>
            </w:r>
          </w:p>
        </w:tc>
      </w:tr>
      <w:tr>
        <w:trPr>
          <w:cantSplit/>
          <w:tblHeader w:val="false"/>
        </w:trPr>
        <w:tc>
          <w:tcPr>
            <w:tcW w:type="dxa" w:w="11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B</w:t>
            </w:r>
          </w:p>
        </w:tc>
        <w:tc>
          <w:tcPr>
            <w:tcW w:type="dxa" w:w="3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Total de 9 à 11, et C1 ≥ 2, et C3 + C4 ≥ 3.</w:t>
            </w:r>
          </w:p>
        </w:tc>
        <w:tc>
          <w:tcPr>
            <w:tcW w:type="dxa" w:w="50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Bonne base, quelques réserves à lire dans les sous-notes.</w:t>
            </w:r>
          </w:p>
        </w:tc>
      </w:tr>
      <w:tr>
        <w:trPr>
          <w:cantSplit/>
          <w:tblHeader w:val="false"/>
        </w:trPr>
        <w:tc>
          <w:tcPr>
            <w:tcW w:type="dxa" w:w="11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w:t>
            </w:r>
          </w:p>
        </w:tc>
        <w:tc>
          <w:tcPr>
            <w:tcW w:type="dxa" w:w="3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Total de 5 à 8, ou toute ressource dont C1 = 1, quel que soit le total.</w:t>
            </w:r>
          </w:p>
        </w:tc>
        <w:tc>
          <w:tcPr>
            <w:tcW w:type="dxa" w:w="50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À utiliser avec discernement ; preuve limitée ou faisabilité incertaine.</w:t>
            </w:r>
          </w:p>
        </w:tc>
      </w:tr>
      <w:tr>
        <w:trPr>
          <w:cantSplit/>
          <w:tblHeader w:val="false"/>
        </w:trPr>
        <w:tc>
          <w:tcPr>
            <w:tcW w:type="dxa" w:w="11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D</w:t>
            </w:r>
          </w:p>
        </w:tc>
        <w:tc>
          <w:tcPr>
            <w:tcW w:type="dxa" w:w="3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Total de 0 à 4, ou C1 = 0, ou C5 = 0.</w:t>
            </w:r>
          </w:p>
        </w:tc>
        <w:tc>
          <w:tcPr>
            <w:tcW w:type="dxa" w:w="50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Référencée pour mémoire, non recommandée.</w:t>
            </w:r>
          </w:p>
        </w:tc>
      </w:tr>
    </w:tbl>
    <w:p>
      <w:pPr>
        <w:pStyle w:val="Heading2"/>
        <w:spacing w:after="120" w:before="280"/>
      </w:pPr>
      <w:r>
        <w:rPr>
          <w:rFonts w:ascii="Calibri" w:cs="Calibri" w:eastAsia="Calibri" w:hAnsi="Calibri"/>
        </w:rPr>
        <w:t xml:space="preserve">4.1 Règles de garde</w:t>
      </w:r>
    </w:p>
    <w:p>
      <w:pPr>
        <w:pStyle w:val="ListParagraph"/>
        <w:numPr>
          <w:ilvl w:val="0"/>
          <w:numId w:val="2"/>
        </w:numPr>
        <w:spacing w:after="80" w:line="300"/>
      </w:pPr>
      <w:r>
        <w:rPr>
          <w:rFonts w:ascii="Calibri" w:cs="Calibri" w:eastAsia="Calibri" w:hAnsi="Calibri"/>
          <w:b/>
          <w:bCs/>
          <w:sz w:val="22"/>
          <w:szCs w:val="22"/>
        </w:rPr>
        <w:t xml:space="preserve">Règle de la preuve. </w:t>
      </w:r>
      <w:r>
        <w:rPr>
          <w:rFonts w:ascii="Calibri" w:cs="Calibri" w:eastAsia="Calibri" w:hAnsi="Calibri"/>
          <w:sz w:val="22"/>
          <w:szCs w:val="22"/>
        </w:rPr>
        <w:t xml:space="preserve">La lettre ne dépasse jamais d’un cran le niveau correspondant à C1 (C1 = 0 → D au mieux ; C1 = 1 → C au mieux ; C1 = 2 → B au mieux).</w:t>
      </w:r>
    </w:p>
    <w:p>
      <w:pPr>
        <w:pStyle w:val="ListParagraph"/>
        <w:numPr>
          <w:ilvl w:val="0"/>
          <w:numId w:val="2"/>
        </w:numPr>
        <w:spacing w:after="80" w:line="300"/>
      </w:pPr>
      <w:r>
        <w:rPr>
          <w:rFonts w:ascii="Calibri" w:cs="Calibri" w:eastAsia="Calibri" w:hAnsi="Calibri"/>
          <w:b/>
          <w:bCs/>
          <w:sz w:val="22"/>
          <w:szCs w:val="22"/>
        </w:rPr>
        <w:t xml:space="preserve">Règle inclusive. </w:t>
      </w:r>
      <w:r>
        <w:rPr>
          <w:rFonts w:ascii="Calibri" w:cs="Calibri" w:eastAsia="Calibri" w:hAnsi="Calibri"/>
          <w:sz w:val="22"/>
          <w:szCs w:val="22"/>
        </w:rPr>
        <w:t xml:space="preserve">Aucune ressource n’obtient A si C3 + C4 &lt; 5, ni B si C3 + C4 &lt; 3.</w:t>
      </w:r>
    </w:p>
    <w:p>
      <w:pPr>
        <w:pStyle w:val="ListParagraph"/>
        <w:numPr>
          <w:ilvl w:val="0"/>
          <w:numId w:val="2"/>
        </w:numPr>
        <w:spacing w:after="80" w:line="300"/>
      </w:pPr>
      <w:r>
        <w:rPr>
          <w:rFonts w:ascii="Calibri" w:cs="Calibri" w:eastAsia="Calibri" w:hAnsi="Calibri"/>
          <w:b/>
          <w:bCs/>
          <w:sz w:val="22"/>
          <w:szCs w:val="22"/>
        </w:rPr>
        <w:t xml:space="preserve">Règle d’accessibilité. </w:t>
      </w:r>
      <w:r>
        <w:rPr>
          <w:rFonts w:ascii="Calibri" w:cs="Calibri" w:eastAsia="Calibri" w:hAnsi="Calibri"/>
          <w:sz w:val="22"/>
          <w:szCs w:val="22"/>
        </w:rPr>
        <w:t xml:space="preserve">C5 = 0 entraîne D, quelle que soit la preuve : un document illisible ou disparu ne peut pas être recommandé.</w:t>
      </w:r>
    </w:p>
    <w:p>
      <w:pPr>
        <w:pStyle w:val="Heading2"/>
        <w:spacing w:after="120" w:before="280"/>
      </w:pPr>
      <w:r>
        <w:rPr>
          <w:rFonts w:ascii="Calibri" w:cs="Calibri" w:eastAsia="Calibri" w:hAnsi="Calibri"/>
        </w:rPr>
        <w:t xml:space="preserve">4.2 Procédure</w:t>
      </w:r>
    </w:p>
    <w:p>
      <w:pPr>
        <w:pStyle w:val="ListParagraph"/>
        <w:numPr>
          <w:ilvl w:val="0"/>
          <w:numId w:val="2"/>
        </w:numPr>
        <w:spacing w:after="80" w:line="300"/>
      </w:pPr>
      <w:r>
        <w:rPr>
          <w:rFonts w:ascii="Calibri" w:cs="Calibri" w:eastAsia="Calibri" w:hAnsi="Calibri"/>
          <w:sz w:val="22"/>
          <w:szCs w:val="22"/>
        </w:rPr>
        <w:t xml:space="preserve">Une relecture par une personne formée au référentiel ; deux relectures indépendantes pour toute proposition de lettre A, dont une par un professionnel de terrain (enseignant spécialisé, AESH, RASED).</w:t>
      </w:r>
    </w:p>
    <w:p>
      <w:pPr>
        <w:pStyle w:val="ListParagraph"/>
        <w:numPr>
          <w:ilvl w:val="0"/>
          <w:numId w:val="2"/>
        </w:numPr>
        <w:spacing w:after="80" w:line="300"/>
      </w:pPr>
      <w:r>
        <w:rPr>
          <w:rFonts w:ascii="Calibri" w:cs="Calibri" w:eastAsia="Calibri" w:hAnsi="Calibri"/>
          <w:sz w:val="22"/>
          <w:szCs w:val="22"/>
        </w:rPr>
        <w:t xml:space="preserve">En cas de désaccord de plus d’un point sur un critère, un troisième avis tranche ; la note la plus basse est retenue par défaut.</w:t>
      </w:r>
    </w:p>
    <w:p>
      <w:pPr>
        <w:pStyle w:val="ListParagraph"/>
        <w:numPr>
          <w:ilvl w:val="0"/>
          <w:numId w:val="2"/>
        </w:numPr>
        <w:spacing w:after="80" w:line="300"/>
      </w:pPr>
      <w:r>
        <w:rPr>
          <w:rFonts w:ascii="Calibri" w:cs="Calibri" w:eastAsia="Calibri" w:hAnsi="Calibri"/>
          <w:sz w:val="22"/>
          <w:szCs w:val="22"/>
        </w:rPr>
        <w:t xml:space="preserve">La grille signée est archivée avec la ressource ; les sources consultées pour C1 et C4 sont citées.</w:t>
      </w:r>
    </w:p>
    <w:p>
      <w:pPr>
        <w:pStyle w:val="ListParagraph"/>
        <w:numPr>
          <w:ilvl w:val="0"/>
          <w:numId w:val="2"/>
        </w:numPr>
        <w:spacing w:after="80" w:line="300"/>
      </w:pPr>
      <w:r>
        <w:rPr>
          <w:rFonts w:ascii="Calibri" w:cs="Calibri" w:eastAsia="Calibri" w:hAnsi="Calibri"/>
          <w:sz w:val="22"/>
          <w:szCs w:val="22"/>
        </w:rPr>
        <w:t xml:space="preserve">Réévaluation tous les trois ans, ou dès la publication d’une nouvelle revue de littérature, ou sur signalement d’un utilisateur via le formulaire de retour de la recherche intelligente.</w:t>
      </w:r>
    </w:p>
    <w:p>
      <w:pPr>
        <w:pStyle w:val="ListParagraph"/>
        <w:numPr>
          <w:ilvl w:val="0"/>
          <w:numId w:val="2"/>
        </w:numPr>
        <w:spacing w:after="80" w:line="300"/>
      </w:pPr>
      <w:r>
        <w:rPr>
          <w:rFonts w:ascii="Calibri" w:cs="Calibri" w:eastAsia="Calibri" w:hAnsi="Calibri"/>
          <w:sz w:val="22"/>
          <w:szCs w:val="22"/>
        </w:rPr>
        <w:t xml:space="preserve">Les ressources partenaires dont le contenu n’est pas consultable restent « non évaluées ».</w:t>
      </w:r>
    </w:p>
    <w:p>
      <w:r>
        <w:br w:type="page"/>
      </w:r>
    </w:p>
    <w:p>
      <w:pPr>
        <w:pStyle w:val="Heading1"/>
        <w:spacing w:after="160" w:before="360"/>
      </w:pPr>
      <w:r>
        <w:rPr>
          <w:rFonts w:ascii="Calibri" w:cs="Calibri" w:eastAsia="Calibri" w:hAnsi="Calibri"/>
        </w:rPr>
        <w:t xml:space="preserve">5. Grille d’évaluation</w:t>
      </w:r>
    </w:p>
    <w:p>
      <w:pPr>
        <w:spacing w:after="120" w:line="300"/>
      </w:pPr>
      <w:r>
        <w:rPr>
          <w:rFonts w:ascii="Calibri" w:cs="Calibri" w:eastAsia="Calibri" w:hAnsi="Calibri"/>
          <w:color w:val="5B6878"/>
          <w:sz w:val="20"/>
          <w:szCs w:val="20"/>
        </w:rPr>
        <w:t xml:space="preserve">À reproduire pour chaque ressource. Une version tableur reprenant ces champs sera fournie avec l’écran de notation de l’espace d’administration.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Champ</w:t>
            </w:r>
          </w:p>
        </w:tc>
        <w:tc>
          <w:tcPr>
            <w:tcW w:type="dxa" w:w="676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Réponse</w:t>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Titre de la ressource</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Identifiant Pedagoliste / URL</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Éditeur ou auteur</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Date de publication / dernière mise à jour</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Relecteur / relectrice (nom, fonction)</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Date de la relecture</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Seconde relecture (si lettre A proposée)</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bl>
    <w:p>
      <w:pPr>
        <w:spacing w:after="120" w:line="30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4600"/>
        <w:gridCol w:w="900"/>
        <w:gridCol w:w="2660"/>
      </w:tblGrid>
      <w:tr>
        <w:trPr>
          <w:cantSplit/>
          <w:tblHeader/>
        </w:trPr>
        <w:tc>
          <w:tcPr>
            <w:tcW w:type="dxa" w:w="12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Critère</w:t>
            </w:r>
          </w:p>
        </w:tc>
        <w:tc>
          <w:tcPr>
            <w:tcW w:type="dxa" w:w="46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Question</w:t>
            </w:r>
          </w:p>
        </w:tc>
        <w:tc>
          <w:tcPr>
            <w:tcW w:type="dxa" w:w="9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Note 0-3</w:t>
            </w:r>
          </w:p>
        </w:tc>
        <w:tc>
          <w:tcPr>
            <w:tcW w:type="dxa" w:w="266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Justification et sources</w:t>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C1</w:t>
            </w:r>
          </w:p>
        </w:tc>
        <w:tc>
          <w:tcPr>
            <w:tcW w:type="dxa" w:w="4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Sur quelles études repose la pratique proposée ?</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c>
          <w:tcPr>
            <w:tcW w:type="dxa" w:w="26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C2</w:t>
            </w:r>
          </w:p>
        </w:tc>
        <w:tc>
          <w:tcPr>
            <w:tcW w:type="dxa" w:w="4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Que faut-il pour la mettre en œuvre dans une classe ordinaire ?</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c>
          <w:tcPr>
            <w:tcW w:type="dxa" w:w="26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C3</w:t>
            </w:r>
          </w:p>
        </w:tc>
        <w:tc>
          <w:tcPr>
            <w:tcW w:type="dxa" w:w="4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La ressource prévoit-elle plusieurs moyens de percevoir, d’agir et de s’engager, pour tous ?</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c>
          <w:tcPr>
            <w:tcW w:type="dxa" w:w="26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C4</w:t>
            </w:r>
          </w:p>
        </w:tc>
        <w:tc>
          <w:tcPr>
            <w:tcW w:type="dxa" w:w="4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La preuve ou l’expérience porte-t-elle sur des élèves à besoins éducatifs particuliers ?</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c>
          <w:tcPr>
            <w:tcW w:type="dxa" w:w="26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C5</w:t>
            </w:r>
          </w:p>
        </w:tc>
        <w:tc>
          <w:tcPr>
            <w:tcW w:type="dxa" w:w="4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Le document est-il fiable, à jour, décrit pas à pas, réutilisable et accessible ?</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c>
          <w:tcPr>
            <w:tcW w:type="dxa" w:w="26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Total</w:t>
            </w:r>
          </w:p>
        </w:tc>
        <w:tc>
          <w:tcPr>
            <w:tcW w:type="dxa" w:w="4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15</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c>
          <w:tcPr>
            <w:tcW w:type="dxa" w:w="26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bl>
    <w:p>
      <w:pPr>
        <w:spacing w:after="120" w:line="30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Décision</w:t>
            </w:r>
          </w:p>
        </w:tc>
        <w:tc>
          <w:tcPr>
            <w:tcW w:type="dxa" w:w="676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Lettre proposée (A / B / C / D)</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Règles de garde vérifiées (preuve, inclusive, accessibilité)</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oui</w:t>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Points de vigilance à afficher aux utilisateurs</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r>
        <w:trPr>
          <w:cantSplit/>
          <w:tblHeader w:val="false"/>
        </w:trPr>
        <w:tc>
          <w:tcPr>
            <w:tcW w:type="dxa" w:w="26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Date de prochaine réévaluation</w:t>
            </w:r>
          </w:p>
        </w:tc>
        <w:tc>
          <w:tcPr>
            <w:tcW w:type="dxa" w:w="67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
            </w:r>
          </w:p>
        </w:tc>
      </w:tr>
    </w:tbl>
    <w:p>
      <w:pPr>
        <w:pStyle w:val="Heading1"/>
        <w:spacing w:after="160" w:before="360"/>
      </w:pPr>
      <w:r>
        <w:rPr>
          <w:rFonts w:ascii="Calibri" w:cs="Calibri" w:eastAsia="Calibri" w:hAnsi="Calibri"/>
        </w:rPr>
        <w:t xml:space="preserve">6. Exemple d’application</w:t>
      </w:r>
    </w:p>
    <w:p>
      <w:pPr>
        <w:spacing w:after="120" w:line="300"/>
      </w:pPr>
      <w:r>
        <w:rPr>
          <w:rFonts w:ascii="Calibri" w:cs="Calibri" w:eastAsia="Calibri" w:hAnsi="Calibri"/>
          <w:b/>
          <w:bCs/>
          <w:sz w:val="22"/>
          <w:szCs w:val="22"/>
        </w:rPr>
        <w:t xml:space="preserve">Exemple fictif, à valeur illustrative. </w:t>
      </w:r>
      <w:r>
        <w:rPr>
          <w:rFonts w:ascii="Calibri" w:cs="Calibri" w:eastAsia="Calibri" w:hAnsi="Calibri"/>
          <w:sz w:val="22"/>
          <w:szCs w:val="22"/>
        </w:rPr>
        <w:t xml:space="preserve">Ressource : « Cartes de consignes visuelles pour les ateliers de lecture en CE2 », fiche interne du pôle, mise à jour en 2025, licence CC BY-SA, PDF balisé.</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200"/>
        <w:gridCol w:w="900"/>
        <w:gridCol w:w="7400"/>
      </w:tblGrid>
      <w:tr>
        <w:trPr>
          <w:cantSplit/>
          <w:tblHeader/>
        </w:trPr>
        <w:tc>
          <w:tcPr>
            <w:tcW w:type="dxa" w:w="12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Critère</w:t>
            </w:r>
          </w:p>
        </w:tc>
        <w:tc>
          <w:tcPr>
            <w:tcW w:type="dxa" w:w="9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Note</w:t>
            </w:r>
          </w:p>
        </w:tc>
        <w:tc>
          <w:tcPr>
            <w:tcW w:type="dxa" w:w="74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Justification</w:t>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C1</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2</w:t>
            </w:r>
          </w:p>
        </w:tc>
        <w:tc>
          <w:tcPr>
            <w:tcW w:type="dxa" w:w="7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Plusieurs études quasi-expérimentales sur les supports visuels et la structuration des consignes ; pas de méta-analyse propre à cette pratique.</w:t>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C2</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3</w:t>
            </w:r>
          </w:p>
        </w:tc>
        <w:tc>
          <w:tcPr>
            <w:tcW w:type="dxa" w:w="7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Cartes imprimables, gratuites, utilisables sans formation.</w:t>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C3</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2</w:t>
            </w:r>
          </w:p>
        </w:tc>
        <w:tc>
          <w:tcPr>
            <w:tcW w:type="dxa" w:w="7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Variantes prévues en représentation (pictogrammes + texte) et en action (réponse orale ou par pointage) ; l’engagement n’est pas travaillé.</w:t>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C4</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2</w:t>
            </w:r>
          </w:p>
        </w:tc>
        <w:tc>
          <w:tcPr>
            <w:tcW w:type="dxa" w:w="7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Retour d’expérience documenté avec des élèves TSA et TDAH en ULIS et en classe ordinaire ; pas d’étude d’effet sur ces profils.</w:t>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C5</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3</w:t>
            </w:r>
          </w:p>
        </w:tc>
        <w:tc>
          <w:tcPr>
            <w:tcW w:type="dxa" w:w="7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Auteur identifié, démarche pas à pas, licence claire, PDF accessible.</w:t>
            </w:r>
          </w:p>
        </w:tc>
      </w:tr>
      <w:tr>
        <w:trPr>
          <w:cantSplit/>
          <w:tblHeader w:val="false"/>
        </w:trPr>
        <w:tc>
          <w:tcPr>
            <w:tcW w:type="dxa" w:w="12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Total</w:t>
            </w:r>
          </w:p>
        </w:tc>
        <w:tc>
          <w:tcPr>
            <w:tcW w:type="dxa" w:w="9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12</w:t>
            </w:r>
          </w:p>
        </w:tc>
        <w:tc>
          <w:tcPr>
            <w:tcW w:type="dxa" w:w="7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C1 = 2 plafonne la lettre à B. C3 + C4 = 4 ≥ 3. Lettre attribuée : B.</w:t>
            </w:r>
          </w:p>
        </w:tc>
      </w:tr>
    </w:tbl>
    <w:p>
      <w:pPr>
        <w:spacing w:after="120" w:line="300"/>
      </w:pPr>
      <w:r>
        <w:rPr>
          <w:rFonts w:ascii="Calibri" w:cs="Calibri" w:eastAsia="Calibri" w:hAnsi="Calibri"/>
          <w:sz w:val="22"/>
          <w:szCs w:val="22"/>
        </w:rPr>
        <w:t xml:space="preserve">Point de vigilance affiché : « Efficacité documentée par des études de petite taille ; à combiner avec un étayage oral pour les élèves allophones. »</w:t>
      </w:r>
    </w:p>
    <w:p>
      <w:pPr>
        <w:pStyle w:val="Heading1"/>
        <w:spacing w:after="160" w:before="360"/>
      </w:pPr>
      <w:r>
        <w:rPr>
          <w:rFonts w:ascii="Calibri" w:cs="Calibri" w:eastAsia="Calibri" w:hAnsi="Calibri"/>
        </w:rPr>
        <w:t xml:space="preserve">7. Glossaire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cantSplit/>
          <w:tblHeader/>
        </w:trPr>
        <w:tc>
          <w:tcPr>
            <w:tcW w:type="dxa" w:w="240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Terme</w:t>
            </w:r>
          </w:p>
        </w:tc>
        <w:tc>
          <w:tcPr>
            <w:tcW w:type="dxa" w:w="6960"/>
            <w:shd w:fill="193461" w:color="auto" w:val="clear"/>
            <w:tcMar>
              <w:top w:type="dxa" w:w="80"/>
              <w:left w:type="dxa" w:w="100"/>
              <w:bottom w:type="dxa" w:w="80"/>
              <w:right w:type="dxa" w:w="100"/>
            </w:tcMar>
            <w:vAlign w:val="top"/>
          </w:tcPr>
          <w:p>
            <w:pPr>
              <w:spacing w:after="40" w:line="260"/>
            </w:pPr>
            <w:r>
              <w:rPr>
                <w:rFonts w:ascii="Calibri" w:cs="Calibri" w:eastAsia="Calibri" w:hAnsi="Calibri"/>
                <w:b/>
                <w:bCs/>
                <w:color w:val="FFFFFF"/>
                <w:sz w:val="20"/>
                <w:szCs w:val="20"/>
              </w:rPr>
              <w:t xml:space="preserve">Définition retenue</w:t>
            </w:r>
          </w:p>
        </w:tc>
      </w:tr>
      <w:tr>
        <w:trPr>
          <w:cantSplit/>
          <w:tblHeader w:val="false"/>
        </w:trPr>
        <w:tc>
          <w:tcPr>
            <w:tcW w:type="dxa" w:w="2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Attrition</w:t>
            </w:r>
          </w:p>
        </w:tc>
        <w:tc>
          <w:tcPr>
            <w:tcW w:type="dxa" w:w="69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Part des participants perdus entre le début et la fin d’une étude ; au-delà d’environ 20 %, la validité des résultats est menacée (WWC, EEF).</w:t>
            </w:r>
          </w:p>
        </w:tc>
      </w:tr>
      <w:tr>
        <w:trPr>
          <w:cantSplit/>
          <w:tblHeader w:val="false"/>
        </w:trPr>
        <w:tc>
          <w:tcPr>
            <w:tcW w:type="dxa" w:w="2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Conception universelle de l’apprentissage (UDL)</w:t>
            </w:r>
          </w:p>
        </w:tc>
        <w:tc>
          <w:tcPr>
            <w:tcW w:type="dxa" w:w="69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Cadre du CAST proposant d’offrir d’emblée plusieurs moyens d’engagement, de représentation et d’action-expression, pour réduire les obstacles sans aménagement individuel.</w:t>
            </w:r>
          </w:p>
        </w:tc>
      </w:tr>
      <w:tr>
        <w:trPr>
          <w:cantSplit/>
          <w:tblHeader w:val="false"/>
        </w:trPr>
        <w:tc>
          <w:tcPr>
            <w:tcW w:type="dxa" w:w="2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Groupe de comparaison</w:t>
            </w:r>
          </w:p>
        </w:tc>
        <w:tc>
          <w:tcPr>
            <w:tcW w:type="dxa" w:w="69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Groupe d’élèves n’ayant pas bénéficié de la pratique étudiée, permettant d’attribuer un effet à cette pratique.</w:t>
            </w:r>
          </w:p>
        </w:tc>
      </w:tr>
      <w:tr>
        <w:trPr>
          <w:cantSplit/>
          <w:tblHeader w:val="false"/>
        </w:trPr>
        <w:tc>
          <w:tcPr>
            <w:tcW w:type="dxa" w:w="2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Méta-analyse</w:t>
            </w:r>
          </w:p>
        </w:tc>
        <w:tc>
          <w:tcPr>
            <w:tcW w:type="dxa" w:w="69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Synthèse statistique des résultats de plusieurs études sur une même question.</w:t>
            </w:r>
          </w:p>
        </w:tc>
      </w:tr>
      <w:tr>
        <w:trPr>
          <w:cantSplit/>
          <w:tblHeader w:val="false"/>
        </w:trPr>
        <w:tc>
          <w:tcPr>
            <w:tcW w:type="dxa" w:w="2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Mois de progrès</w:t>
            </w:r>
          </w:p>
        </w:tc>
        <w:tc>
          <w:tcPr>
            <w:tcW w:type="dxa" w:w="69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Unité de l’EEF traduisant une taille d’effet en gain d’apprentissage estimé, par rapport à des élèves comparables.</w:t>
            </w:r>
          </w:p>
        </w:tc>
      </w:tr>
      <w:tr>
        <w:trPr>
          <w:cantSplit/>
          <w:tblHeader w:val="false"/>
        </w:trPr>
        <w:tc>
          <w:tcPr>
            <w:tcW w:type="dxa" w:w="2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Quasi-expérimental</w:t>
            </w:r>
          </w:p>
        </w:tc>
        <w:tc>
          <w:tcPr>
            <w:tcW w:type="dxa" w:w="69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Plan d’étude avec groupe de comparaison mais sans tirage au sort ; recevable si l’équivalence initiale est démontrée.</w:t>
            </w:r>
          </w:p>
        </w:tc>
      </w:tr>
      <w:tr>
        <w:trPr>
          <w:cantSplit/>
          <w:tblHeader w:val="false"/>
        </w:trPr>
        <w:tc>
          <w:tcPr>
            <w:tcW w:type="dxa" w:w="2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Ressource éducative libre (REL)</w:t>
            </w:r>
          </w:p>
        </w:tc>
        <w:tc>
          <w:tcPr>
            <w:tcW w:type="dxa" w:w="69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Ressource publiée sous licence ouverte autorisant la réutilisation et l’adaptation.</w:t>
            </w:r>
          </w:p>
        </w:tc>
      </w:tr>
      <w:tr>
        <w:trPr>
          <w:cantSplit/>
          <w:tblHeader w:val="false"/>
        </w:trPr>
        <w:tc>
          <w:tcPr>
            <w:tcW w:type="dxa" w:w="240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RGAA</w:t>
            </w:r>
          </w:p>
        </w:tc>
        <w:tc>
          <w:tcPr>
            <w:tcW w:type="dxa" w:w="6960"/>
            <w:tcMar>
              <w:top w:type="dxa" w:w="80"/>
              <w:left w:type="dxa" w:w="100"/>
              <w:bottom w:type="dxa" w:w="80"/>
              <w:right w:type="dxa" w:w="100"/>
            </w:tcMar>
            <w:vAlign w:val="top"/>
          </w:tcPr>
          <w:p>
            <w:pPr>
              <w:spacing w:after="40" w:line="260"/>
            </w:pPr>
            <w:r>
              <w:rPr>
                <w:rFonts w:ascii="Calibri" w:cs="Calibri" w:eastAsia="Calibri" w:hAnsi="Calibri"/>
                <w:sz w:val="20"/>
                <w:szCs w:val="20"/>
              </w:rPr>
              <w:t xml:space="preserve">Référentiel général d’amélioration de l’accessibilité, cadre technique français de l’accessibilité numérique.</w:t>
            </w:r>
          </w:p>
        </w:tc>
      </w:tr>
    </w:tbl>
    <w:p>
      <w:pPr>
        <w:pStyle w:val="Heading1"/>
        <w:spacing w:after="160" w:before="360"/>
      </w:pPr>
      <w:r>
        <w:rPr>
          <w:rFonts w:ascii="Calibri" w:cs="Calibri" w:eastAsia="Calibri" w:hAnsi="Calibri"/>
        </w:rPr>
        <w:t xml:space="preserve">8. Références</w:t>
      </w:r>
    </w:p>
    <w:p>
      <w:pPr>
        <w:spacing w:after="120" w:line="300"/>
      </w:pPr>
      <w:r>
        <w:rPr>
          <w:rFonts w:ascii="Calibri" w:cs="Calibri" w:eastAsia="Calibri" w:hAnsi="Calibri"/>
          <w:color w:val="5B6878"/>
          <w:sz w:val="20"/>
          <w:szCs w:val="20"/>
        </w:rPr>
        <w:t xml:space="preserve">Normes APA, 7e édition. Les adresses ont été consultées le 11 septembre 2026.</w:t>
      </w:r>
    </w:p>
    <w:p>
      <w:pPr>
        <w:spacing w:after="120" w:line="280"/>
        <w:ind w:left="720" w:hanging="720"/>
      </w:pPr>
      <w:r>
        <w:rPr>
          <w:rFonts w:ascii="Calibri" w:cs="Calibri" w:eastAsia="Calibri" w:hAnsi="Calibri"/>
          <w:sz w:val="22"/>
          <w:szCs w:val="22"/>
        </w:rPr>
        <w:t xml:space="preserve">Achieve. (2011). </w:t>
      </w:r>
      <w:r>
        <w:rPr>
          <w:rFonts w:ascii="Calibri" w:cs="Calibri" w:eastAsia="Calibri" w:hAnsi="Calibri"/>
          <w:i/>
          <w:iCs/>
          <w:sz w:val="22"/>
          <w:szCs w:val="22"/>
        </w:rPr>
        <w:t xml:space="preserve">Rubrics for evaluating open education resource (OER) objects</w:t>
      </w:r>
      <w:r>
        <w:rPr>
          <w:rFonts w:ascii="Calibri" w:cs="Calibri" w:eastAsia="Calibri" w:hAnsi="Calibri"/>
          <w:sz w:val="22"/>
          <w:szCs w:val="22"/>
        </w:rPr>
        <w:t xml:space="preserve">. https://www.achieve.org/files/AchieveOERRubrics.pdf</w:t>
      </w:r>
    </w:p>
    <w:p>
      <w:pPr>
        <w:spacing w:after="120" w:line="280"/>
        <w:ind w:left="720" w:hanging="720"/>
      </w:pPr>
      <w:r>
        <w:rPr>
          <w:rFonts w:ascii="Calibri" w:cs="Calibri" w:eastAsia="Calibri" w:hAnsi="Calibri"/>
          <w:sz w:val="22"/>
          <w:szCs w:val="22"/>
        </w:rPr>
        <w:t xml:space="preserve">CAST. (2024). </w:t>
      </w:r>
      <w:r>
        <w:rPr>
          <w:rFonts w:ascii="Calibri" w:cs="Calibri" w:eastAsia="Calibri" w:hAnsi="Calibri"/>
          <w:i/>
          <w:iCs/>
          <w:sz w:val="22"/>
          <w:szCs w:val="22"/>
        </w:rPr>
        <w:t xml:space="preserve">Universal Design for Learning guidelines, version 3.0</w:t>
      </w:r>
      <w:r>
        <w:rPr>
          <w:rFonts w:ascii="Calibri" w:cs="Calibri" w:eastAsia="Calibri" w:hAnsi="Calibri"/>
          <w:sz w:val="22"/>
          <w:szCs w:val="22"/>
        </w:rPr>
        <w:t xml:space="preserve">. https://udlguidelines.cast.org</w:t>
      </w:r>
    </w:p>
    <w:p>
      <w:pPr>
        <w:spacing w:after="120" w:line="280"/>
        <w:ind w:left="720" w:hanging="720"/>
      </w:pPr>
      <w:r>
        <w:rPr>
          <w:rFonts w:ascii="Calibri" w:cs="Calibri" w:eastAsia="Calibri" w:hAnsi="Calibri"/>
          <w:sz w:val="22"/>
          <w:szCs w:val="22"/>
        </w:rPr>
        <w:t xml:space="preserve">Conseil scientifique de l’éducation nationale. (s. d.). </w:t>
      </w:r>
      <w:r>
        <w:rPr>
          <w:rFonts w:ascii="Calibri" w:cs="Calibri" w:eastAsia="Calibri" w:hAnsi="Calibri"/>
          <w:i/>
          <w:iCs/>
          <w:sz w:val="22"/>
          <w:szCs w:val="22"/>
        </w:rPr>
        <w:t xml:space="preserve">Boîte à outils pour s’appuyer sur la recherche en éducation</w:t>
      </w:r>
      <w:r>
        <w:rPr>
          <w:rFonts w:ascii="Calibri" w:cs="Calibri" w:eastAsia="Calibri" w:hAnsi="Calibri"/>
          <w:sz w:val="22"/>
          <w:szCs w:val="22"/>
        </w:rPr>
        <w:t xml:space="preserve">. Réseau Canopé. https://www.reseau-canope.fr/fileadmin/user_upload/Projets/conseil_scientifique_education_nationale/Ressources_pedagogiques/CSEN_IDEE_Boite_a_outils_recherche_education.web.pdf</w:t>
      </w:r>
    </w:p>
    <w:p>
      <w:pPr>
        <w:spacing w:after="120" w:line="280"/>
        <w:ind w:left="720" w:hanging="720"/>
      </w:pPr>
      <w:r>
        <w:rPr>
          <w:rFonts w:ascii="Calibri" w:cs="Calibri" w:eastAsia="Calibri" w:hAnsi="Calibri"/>
          <w:sz w:val="22"/>
          <w:szCs w:val="22"/>
        </w:rPr>
        <w:t xml:space="preserve">Direction interministérielle du numérique. (2023). </w:t>
      </w:r>
      <w:r>
        <w:rPr>
          <w:rFonts w:ascii="Calibri" w:cs="Calibri" w:eastAsia="Calibri" w:hAnsi="Calibri"/>
          <w:i/>
          <w:iCs/>
          <w:sz w:val="22"/>
          <w:szCs w:val="22"/>
        </w:rPr>
        <w:t xml:space="preserve">Référentiel général d’amélioration de l’accessibilité (RGAA), version 4.1</w:t>
      </w:r>
      <w:r>
        <w:rPr>
          <w:rFonts w:ascii="Calibri" w:cs="Calibri" w:eastAsia="Calibri" w:hAnsi="Calibri"/>
          <w:sz w:val="22"/>
          <w:szCs w:val="22"/>
        </w:rPr>
        <w:t xml:space="preserve">. https://accessibilite.numerique.gouv.fr/</w:t>
      </w:r>
    </w:p>
    <w:p>
      <w:pPr>
        <w:spacing w:after="120" w:line="280"/>
        <w:ind w:left="720" w:hanging="720"/>
      </w:pPr>
      <w:r>
        <w:rPr>
          <w:rFonts w:ascii="Calibri" w:cs="Calibri" w:eastAsia="Calibri" w:hAnsi="Calibri"/>
          <w:sz w:val="22"/>
          <w:szCs w:val="22"/>
        </w:rPr>
        <w:t xml:space="preserve">Education Endowment Foundation. (2019). </w:t>
      </w:r>
      <w:r>
        <w:rPr>
          <w:rFonts w:ascii="Calibri" w:cs="Calibri" w:eastAsia="Calibri" w:hAnsi="Calibri"/>
          <w:i/>
          <w:iCs/>
          <w:sz w:val="22"/>
          <w:szCs w:val="22"/>
        </w:rPr>
        <w:t xml:space="preserve">Classifying the security of EEF findings</w:t>
      </w:r>
      <w:r>
        <w:rPr>
          <w:rFonts w:ascii="Calibri" w:cs="Calibri" w:eastAsia="Calibri" w:hAnsi="Calibri"/>
          <w:sz w:val="22"/>
          <w:szCs w:val="22"/>
        </w:rPr>
        <w:t xml:space="preserve">. https://d2tic4wvo1iusb.cloudfront.net/documents/evaluation/peer-review-process/Classifying_the_security_of_EEF_findings_2019.pdf</w:t>
      </w:r>
    </w:p>
    <w:p>
      <w:pPr>
        <w:spacing w:after="120" w:line="280"/>
        <w:ind w:left="720" w:hanging="720"/>
      </w:pPr>
      <w:r>
        <w:rPr>
          <w:rFonts w:ascii="Calibri" w:cs="Calibri" w:eastAsia="Calibri" w:hAnsi="Calibri"/>
          <w:sz w:val="22"/>
          <w:szCs w:val="22"/>
        </w:rPr>
        <w:t xml:space="preserve">Education Endowment Foundation. (s. d.). </w:t>
      </w:r>
      <w:r>
        <w:rPr>
          <w:rFonts w:ascii="Calibri" w:cs="Calibri" w:eastAsia="Calibri" w:hAnsi="Calibri"/>
          <w:i/>
          <w:iCs/>
          <w:sz w:val="22"/>
          <w:szCs w:val="22"/>
        </w:rPr>
        <w:t xml:space="preserve">Teaching and Learning Toolkit</w:t>
      </w:r>
      <w:r>
        <w:rPr>
          <w:rFonts w:ascii="Calibri" w:cs="Calibri" w:eastAsia="Calibri" w:hAnsi="Calibri"/>
          <w:sz w:val="22"/>
          <w:szCs w:val="22"/>
        </w:rPr>
        <w:t xml:space="preserve">. https://educationendowmentfoundation.org.uk/education-evidence/teaching-learning-toolkit</w:t>
      </w:r>
    </w:p>
    <w:p>
      <w:pPr>
        <w:spacing w:after="120" w:line="280"/>
        <w:ind w:left="720" w:hanging="720"/>
      </w:pPr>
      <w:r>
        <w:rPr>
          <w:rFonts w:ascii="Calibri" w:cs="Calibri" w:eastAsia="Calibri" w:hAnsi="Calibri"/>
          <w:sz w:val="22"/>
          <w:szCs w:val="22"/>
        </w:rPr>
        <w:t xml:space="preserve">Evidence for Learning. (s. d.). </w:t>
      </w:r>
      <w:r>
        <w:rPr>
          <w:rFonts w:ascii="Calibri" w:cs="Calibri" w:eastAsia="Calibri" w:hAnsi="Calibri"/>
          <w:i/>
          <w:iCs/>
          <w:sz w:val="22"/>
          <w:szCs w:val="22"/>
        </w:rPr>
        <w:t xml:space="preserve">Using the Toolkits</w:t>
      </w:r>
      <w:r>
        <w:rPr>
          <w:rFonts w:ascii="Calibri" w:cs="Calibri" w:eastAsia="Calibri" w:hAnsi="Calibri"/>
          <w:sz w:val="22"/>
          <w:szCs w:val="22"/>
        </w:rPr>
        <w:t xml:space="preserve">. https://evidenceforlearning.org.au/the-toolkits/about/</w:t>
      </w:r>
    </w:p>
    <w:p>
      <w:pPr>
        <w:spacing w:after="120" w:line="280"/>
        <w:ind w:left="720" w:hanging="720"/>
      </w:pPr>
      <w:r>
        <w:rPr>
          <w:rFonts w:ascii="Calibri" w:cs="Calibri" w:eastAsia="Calibri" w:hAnsi="Calibri"/>
          <w:sz w:val="22"/>
          <w:szCs w:val="22"/>
        </w:rPr>
        <w:t xml:space="preserve">Ministère de l’Éducation nationale. (2025). </w:t>
      </w:r>
      <w:r>
        <w:rPr>
          <w:rFonts w:ascii="Calibri" w:cs="Calibri" w:eastAsia="Calibri" w:hAnsi="Calibri"/>
          <w:i/>
          <w:iCs/>
          <w:sz w:val="22"/>
          <w:szCs w:val="22"/>
        </w:rPr>
        <w:t xml:space="preserve">Cadre d’usage de l’IA en éducation</w:t>
      </w:r>
      <w:r>
        <w:rPr>
          <w:rFonts w:ascii="Calibri" w:cs="Calibri" w:eastAsia="Calibri" w:hAnsi="Calibri"/>
          <w:sz w:val="22"/>
          <w:szCs w:val="22"/>
        </w:rPr>
        <w:t xml:space="preserve">. https://www.education.gouv.fr/cadre-d-usage-de-l-ia-en-education-450647</w:t>
      </w:r>
    </w:p>
    <w:p>
      <w:pPr>
        <w:spacing w:after="120" w:line="280"/>
        <w:ind w:left="720" w:hanging="720"/>
      </w:pPr>
      <w:r>
        <w:rPr>
          <w:rFonts w:ascii="Calibri" w:cs="Calibri" w:eastAsia="Calibri" w:hAnsi="Calibri"/>
          <w:sz w:val="22"/>
          <w:szCs w:val="22"/>
        </w:rPr>
        <w:t xml:space="preserve">Réseau Canopé. (s. d.). </w:t>
      </w:r>
      <w:r>
        <w:rPr>
          <w:rFonts w:ascii="Calibri" w:cs="Calibri" w:eastAsia="Calibri" w:hAnsi="Calibri"/>
          <w:i/>
          <w:iCs/>
          <w:sz w:val="22"/>
          <w:szCs w:val="22"/>
        </w:rPr>
        <w:t xml:space="preserve">École inclusive et numérique</w:t>
      </w:r>
      <w:r>
        <w:rPr>
          <w:rFonts w:ascii="Calibri" w:cs="Calibri" w:eastAsia="Calibri" w:hAnsi="Calibri"/>
          <w:sz w:val="22"/>
          <w:szCs w:val="22"/>
        </w:rPr>
        <w:t xml:space="preserve">. Agence des usages. https://www.reseau-canope.fr/agence-des-usages/ecole-inclusive-et-numerique.html</w:t>
      </w:r>
    </w:p>
    <w:p>
      <w:pPr>
        <w:spacing w:after="120" w:line="280"/>
        <w:ind w:left="720" w:hanging="720"/>
      </w:pPr>
      <w:r>
        <w:rPr>
          <w:rFonts w:ascii="Calibri" w:cs="Calibri" w:eastAsia="Calibri" w:hAnsi="Calibri"/>
          <w:sz w:val="22"/>
          <w:szCs w:val="22"/>
        </w:rPr>
        <w:t xml:space="preserve">What Works Clearinghouse. (2022). </w:t>
      </w:r>
      <w:r>
        <w:rPr>
          <w:rFonts w:ascii="Calibri" w:cs="Calibri" w:eastAsia="Calibri" w:hAnsi="Calibri"/>
          <w:i/>
          <w:iCs/>
          <w:sz w:val="22"/>
          <w:szCs w:val="22"/>
        </w:rPr>
        <w:t xml:space="preserve">What Works Clearinghouse procedures and standards handbook, version 5.0</w:t>
      </w:r>
      <w:r>
        <w:rPr>
          <w:rFonts w:ascii="Calibri" w:cs="Calibri" w:eastAsia="Calibri" w:hAnsi="Calibri"/>
          <w:sz w:val="22"/>
          <w:szCs w:val="22"/>
        </w:rPr>
        <w:t xml:space="preserve">. Institute of Education Sciences, U.S. Department of Education. https://ies.ed.gov/ncee/wwc/Docs/referenceresources/Final_WWC-HandbookVer5.0-0-508.pdf</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878"/>
        <w:sz w:val="18"/>
        <w:szCs w:val="18"/>
      </w:rPr>
      <w:t xml:space="preserve">Pôle Pilote 100 % IDT — Pedagoliste — page </w:t>
    </w:r>
    <w:r>
      <w:rPr>
        <w:rFonts w:ascii="Calibri" w:cs="Calibri" w:eastAsia="Calibri" w:hAnsi="Calibri"/>
        <w:color w:val="5B687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B6878"/>
        <w:sz w:val="18"/>
        <w:szCs w:val="18"/>
      </w:rPr>
      <w:t xml:space="preserve">Référentiel du label IDT — version 1.0 (projet), septembre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93461"/>
      <w:sz w:val="32"/>
      <w:szCs w:val="32"/>
    </w:rPr>
  </w:style>
  <w:style w:type="paragraph" w:styleId="Heading2">
    <w:name w:val="Heading 2"/>
    <w:basedOn w:val="Normal"/>
    <w:next w:val="Normal"/>
    <w:qFormat/>
    <w:pPr>
      <w:outlineLvl w:val="1"/>
    </w:pPr>
    <w:rPr>
      <w:rFonts w:ascii="Calibri" w:cs="Calibri" w:eastAsia="Calibri" w:hAnsi="Calibri"/>
      <w:b/>
      <w:bCs/>
      <w:color w:val="1F5A4E"/>
      <w:sz w:val="26"/>
      <w:szCs w:val="26"/>
    </w:rPr>
  </w:style>
  <w:style w:type="paragraph" w:styleId="Heading3">
    <w:name w:val="Heading 3"/>
    <w:basedOn w:val="Normal"/>
    <w:next w:val="Normal"/>
    <w:qFormat/>
    <w:pPr>
      <w:outlineLvl w:val="2"/>
    </w:pPr>
    <w:rPr>
      <w:rFonts w:ascii="Calibri" w:cs="Calibri" w:eastAsia="Calibri" w:hAnsi="Calibri"/>
      <w:b/>
      <w:bCs/>
      <w:color w:val="193461"/>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Référentiel du label IDT — Évaluation des ressources pédagogiques inclusives</dc:title>
  <dc:creator>Pôle Pilote 100 % IDT</dc:creator>
  <cp:lastModifiedBy>Un-named</cp:lastModifiedBy>
  <cp:revision>1</cp:revision>
  <dcterms:created xsi:type="dcterms:W3CDTF">2026-09-10T22:37:47.123Z</dcterms:created>
  <dcterms:modified xsi:type="dcterms:W3CDTF">2026-09-10T22:37:47.125Z</dcterms:modified>
</cp:coreProperties>
</file>

<file path=docProps/custom.xml><?xml version="1.0" encoding="utf-8"?>
<Properties xmlns="http://schemas.openxmlformats.org/officeDocument/2006/custom-properties" xmlns:vt="http://schemas.openxmlformats.org/officeDocument/2006/docPropsVTypes"/>
</file>